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F8D" w:rsidRDefault="00B87F8D" w:rsidP="00B87F8D">
      <w:pPr>
        <w:jc w:val="center"/>
        <w:rPr>
          <w:sz w:val="44"/>
        </w:rPr>
      </w:pPr>
    </w:p>
    <w:p w:rsidR="00790C87" w:rsidRDefault="00790C87" w:rsidP="00B87F8D">
      <w:pPr>
        <w:jc w:val="center"/>
        <w:rPr>
          <w:sz w:val="44"/>
        </w:rPr>
      </w:pPr>
    </w:p>
    <w:p w:rsidR="00790C87" w:rsidRDefault="00790C87" w:rsidP="00B87F8D">
      <w:pPr>
        <w:jc w:val="center"/>
        <w:rPr>
          <w:sz w:val="44"/>
        </w:rPr>
      </w:pPr>
    </w:p>
    <w:p w:rsidR="00790C87" w:rsidRDefault="00790C87" w:rsidP="00B87F8D">
      <w:pPr>
        <w:jc w:val="center"/>
        <w:rPr>
          <w:sz w:val="44"/>
        </w:rPr>
      </w:pPr>
    </w:p>
    <w:p w:rsidR="00790C87" w:rsidRDefault="00790C87" w:rsidP="00B87F8D">
      <w:pPr>
        <w:jc w:val="center"/>
        <w:rPr>
          <w:sz w:val="44"/>
        </w:rPr>
      </w:pPr>
    </w:p>
    <w:p w:rsidR="00B87F8D" w:rsidRDefault="00B87F8D" w:rsidP="00B87F8D">
      <w:pPr>
        <w:jc w:val="center"/>
        <w:rPr>
          <w:sz w:val="44"/>
        </w:rPr>
      </w:pPr>
      <w:r>
        <w:rPr>
          <w:sz w:val="44"/>
        </w:rPr>
        <w:t>ЕДИНАЯ СИСТЕМА УЧЕТА</w:t>
      </w:r>
    </w:p>
    <w:p w:rsidR="00B87F8D" w:rsidRPr="00B87F8D" w:rsidRDefault="00B87F8D" w:rsidP="00B87F8D">
      <w:pPr>
        <w:jc w:val="center"/>
        <w:rPr>
          <w:sz w:val="44"/>
        </w:rPr>
      </w:pPr>
      <w:r>
        <w:rPr>
          <w:sz w:val="44"/>
        </w:rPr>
        <w:t>Описание системы</w:t>
      </w:r>
    </w:p>
    <w:p w:rsidR="00B87F8D" w:rsidRDefault="00B87F8D" w:rsidP="00B87F8D">
      <w:pPr>
        <w:jc w:val="center"/>
        <w:rPr>
          <w:sz w:val="44"/>
        </w:rPr>
      </w:pPr>
    </w:p>
    <w:p w:rsidR="00B87F8D" w:rsidRDefault="00B87F8D" w:rsidP="00B87F8D">
      <w:pPr>
        <w:jc w:val="center"/>
        <w:rPr>
          <w:sz w:val="44"/>
        </w:rPr>
      </w:pPr>
    </w:p>
    <w:p w:rsidR="00B87F8D" w:rsidRDefault="00B87F8D" w:rsidP="00B87F8D">
      <w:pPr>
        <w:jc w:val="center"/>
        <w:rPr>
          <w:sz w:val="44"/>
        </w:rPr>
      </w:pPr>
    </w:p>
    <w:p w:rsidR="00B87F8D" w:rsidRDefault="00B87F8D" w:rsidP="00B87F8D">
      <w:pPr>
        <w:jc w:val="center"/>
        <w:rPr>
          <w:sz w:val="44"/>
        </w:rPr>
      </w:pPr>
    </w:p>
    <w:p w:rsidR="00B87F8D" w:rsidRDefault="00B87F8D" w:rsidP="00B87F8D">
      <w:pPr>
        <w:jc w:val="center"/>
        <w:rPr>
          <w:sz w:val="44"/>
        </w:rPr>
      </w:pPr>
    </w:p>
    <w:p w:rsidR="00B87F8D" w:rsidRDefault="00B87F8D" w:rsidP="00B87F8D">
      <w:pPr>
        <w:jc w:val="center"/>
        <w:rPr>
          <w:sz w:val="44"/>
        </w:rPr>
      </w:pPr>
    </w:p>
    <w:p w:rsidR="00B87F8D" w:rsidRDefault="00B87F8D" w:rsidP="00B87F8D">
      <w:pPr>
        <w:jc w:val="center"/>
        <w:rPr>
          <w:sz w:val="44"/>
        </w:rPr>
      </w:pPr>
    </w:p>
    <w:p w:rsidR="00B87F8D" w:rsidRDefault="00B87F8D" w:rsidP="00B87F8D">
      <w:pPr>
        <w:jc w:val="center"/>
        <w:rPr>
          <w:sz w:val="44"/>
        </w:rPr>
      </w:pPr>
    </w:p>
    <w:p w:rsidR="00B87F8D" w:rsidRDefault="00B87F8D" w:rsidP="00B87F8D">
      <w:pPr>
        <w:jc w:val="center"/>
        <w:rPr>
          <w:sz w:val="44"/>
        </w:rPr>
      </w:pPr>
    </w:p>
    <w:p w:rsidR="00B87F8D" w:rsidRDefault="00B87F8D" w:rsidP="00B87F8D">
      <w:pPr>
        <w:jc w:val="center"/>
        <w:rPr>
          <w:sz w:val="44"/>
        </w:rPr>
      </w:pPr>
      <w:bookmarkStart w:id="0" w:name="_GoBack"/>
      <w:bookmarkEnd w:id="0"/>
    </w:p>
    <w:p w:rsidR="00B87F8D" w:rsidRDefault="00B87F8D" w:rsidP="00790C87"/>
    <w:p w:rsidR="00B87F8D" w:rsidRDefault="00B87F8D" w:rsidP="00B87F8D">
      <w:pPr>
        <w:jc w:val="center"/>
      </w:pPr>
    </w:p>
    <w:p w:rsidR="00B87F8D" w:rsidRDefault="00B87F8D" w:rsidP="00B87F8D">
      <w:pPr>
        <w:jc w:val="center"/>
      </w:pPr>
    </w:p>
    <w:p w:rsidR="00B87F8D" w:rsidRDefault="00B87F8D" w:rsidP="00B87F8D">
      <w:pPr>
        <w:jc w:val="center"/>
      </w:pPr>
      <w:r w:rsidRPr="00730C16">
        <w:t xml:space="preserve">2020, © БКС </w:t>
      </w:r>
      <w:r>
        <w:t>–</w:t>
      </w:r>
      <w:r w:rsidRPr="00730C16">
        <w:t xml:space="preserve"> Технологии</w:t>
      </w:r>
    </w:p>
    <w:p w:rsidR="00B87F8D" w:rsidRDefault="00B87F8D">
      <w:pPr>
        <w:spacing w:after="200" w:line="276" w:lineRule="auto"/>
      </w:pPr>
      <w:r w:rsidRPr="00B87F8D">
        <w:rPr>
          <w:rFonts w:ascii="Segoe UI" w:hAnsi="Segoe UI" w:cs="Segoe UI"/>
          <w:b/>
          <w:color w:val="172B4D"/>
          <w:sz w:val="21"/>
          <w:szCs w:val="21"/>
          <w:shd w:val="clear" w:color="auto" w:fill="FFFFFF"/>
        </w:rPr>
        <w:lastRenderedPageBreak/>
        <w:t>Единая Система Учета (ЕСУ),</w:t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 xml:space="preserve"> разработана для целей ведения бухгалтерского учета юридических лиц, которые являются профессиональными участниками рынка ценных бумаг (ПУРЦБ).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ЕСУ охватывает методики учета по следующим категориям профессиональных участников: Брокер и Управляющие компании (УК).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В ЕСУ реализованы следующие регуляторные требования: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 xml:space="preserve">∙ отражение операций по Единому плану счетов в соответствии с к Положением N 486-П «О Плане счетов бухгалтерского учета в </w:t>
      </w:r>
      <w:proofErr w:type="spellStart"/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некредитных</w:t>
      </w:r>
      <w:proofErr w:type="spellEnd"/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 xml:space="preserve"> финансовых организациях и порядке его применения» (про 20 знаков, мне кажется, лишнее);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∙ аналитические ключи к плану счетов;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∙ линейная аналитика;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∙ требования в регламентных операциях ;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∙ формирование регуляторной отчетности в требуемом формате.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Система поддерживает учет операций в двух видах плана счетов: классический и единый план счетов.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Система включает себя все разделы учета экономической деятельности: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∙ учет основных средств, НМА, инвестиционного имущества, долгосрочных активов, предназначенных для продажи, других нефинансовых активов;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∙ учет операций с покупателями и клиентами;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∙ учет денежных средств;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∙ учет операций с поставщиками и подрядчиками;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∙ учет расчетов с сотрудниками и подотчетными лицами;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∙ учет операций с ценными бумагами;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∙ учет ПФИ;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∙ учет привлеченных и предоставленных средств;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∙ учет операций доверительного управления имуществом доверительным управляющим и учредителем управления;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∙ учет договоров аренды;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∙ прочее.</w:t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</w:rPr>
        <w:br/>
      </w: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Система ЕСУ поддерживает и развивает все новые требования регулятора.</w:t>
      </w:r>
    </w:p>
    <w:p w:rsidR="007A550D" w:rsidRDefault="007A550D" w:rsidP="00B87F8D">
      <w:pPr>
        <w:jc w:val="center"/>
      </w:pPr>
    </w:p>
    <w:sectPr w:rsidR="007A5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15"/>
    <w:rsid w:val="00790C87"/>
    <w:rsid w:val="007A550D"/>
    <w:rsid w:val="00845515"/>
    <w:rsid w:val="00B8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C55FF"/>
  <w15:chartTrackingRefBased/>
  <w15:docId w15:val="{4F77B37A-FFBA-4CE0-B33B-DE52D8D1E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F8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1351</Characters>
  <Application>Microsoft Office Word</Application>
  <DocSecurity>0</DocSecurity>
  <Lines>11</Lines>
  <Paragraphs>3</Paragraphs>
  <ScaleCrop>false</ScaleCrop>
  <Company>БКС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 Валерьевич</dc:creator>
  <cp:keywords/>
  <dc:description/>
  <cp:lastModifiedBy>Иванов Дмитрий Валерьевич</cp:lastModifiedBy>
  <cp:revision>3</cp:revision>
  <dcterms:created xsi:type="dcterms:W3CDTF">2022-02-03T13:41:00Z</dcterms:created>
  <dcterms:modified xsi:type="dcterms:W3CDTF">2022-02-03T13:43:00Z</dcterms:modified>
</cp:coreProperties>
</file>